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4A" w:rsidRPr="005F4B4A" w:rsidRDefault="005F4B4A" w:rsidP="005F4B4A">
      <w:pPr>
        <w:spacing w:after="0" w:line="240" w:lineRule="auto"/>
        <w:ind w:firstLine="756"/>
        <w:jc w:val="right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Приложение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636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Оценочные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средства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для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проведения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промежуточной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аттестации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обучения и оценочные средства для проведения промежуточной аттестации: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6"/>
        <w:gridCol w:w="2255"/>
        <w:gridCol w:w="11688"/>
      </w:tblGrid>
      <w:tr w:rsidR="005F4B4A" w:rsidRPr="0064018E" w:rsidTr="00716583">
        <w:trPr>
          <w:trHeight w:val="77"/>
        </w:trPr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  <w:proofErr w:type="spellEnd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индикатора</w:t>
            </w:r>
            <w:proofErr w:type="spellEnd"/>
          </w:p>
        </w:tc>
        <w:tc>
          <w:tcPr>
            <w:tcW w:w="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 достижения компетенции</w:t>
            </w:r>
          </w:p>
        </w:tc>
        <w:tc>
          <w:tcPr>
            <w:tcW w:w="3810" w:type="pct"/>
            <w:vAlign w:val="center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Оценочные</w:t>
            </w:r>
            <w:proofErr w:type="spellEnd"/>
            <w:r w:rsidRPr="0064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</w:p>
        </w:tc>
      </w:tr>
      <w:tr w:rsidR="005F4B4A" w:rsidRPr="00192D13" w:rsidTr="00FE73A4">
        <w:trPr>
          <w:trHeight w:val="77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</w:tcPr>
          <w:p w:rsidR="005F4B4A" w:rsidRPr="00425E50" w:rsidRDefault="00425E50" w:rsidP="00F11202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УК-1</w:t>
            </w:r>
            <w:r w:rsidR="005F4B4A" w:rsidRPr="005F4B4A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5E50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  <w:lang w:val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5F4B4A" w:rsidRPr="00B13FBF" w:rsidTr="00716583">
        <w:trPr>
          <w:trHeight w:val="77"/>
        </w:trPr>
        <w:tc>
          <w:tcPr>
            <w:tcW w:w="455" w:type="pct"/>
            <w:tcBorders>
              <w:bottom w:val="nil"/>
            </w:tcBorders>
            <w:shd w:val="clear" w:color="000000" w:fill="FFFFFF"/>
          </w:tcPr>
          <w:p w:rsidR="005F4B4A" w:rsidRPr="0053068D" w:rsidRDefault="0053068D" w:rsidP="00F50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УК-1</w:t>
            </w:r>
          </w:p>
        </w:tc>
        <w:tc>
          <w:tcPr>
            <w:tcW w:w="735" w:type="pct"/>
            <w:tcBorders>
              <w:bottom w:val="nil"/>
            </w:tcBorders>
            <w:shd w:val="clear" w:color="000000" w:fill="FFFFFF"/>
          </w:tcPr>
          <w:p w:rsidR="005F4B4A" w:rsidRPr="00753F2F" w:rsidRDefault="00753F2F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Знает: различные варианты решения проблемной ситуации на основе системного подхода, их преимущества и риски.</w:t>
            </w:r>
          </w:p>
          <w:p w:rsidR="00753F2F" w:rsidRPr="0064018E" w:rsidRDefault="00753F2F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Умеет: грамотно, логично, аргументированно формулировать собственные суждения и оценки; выявлять проблемную ситуацию в процессе анализа проблемы, определять этапы ее разрешения с учетом вариативных контекстов.</w:t>
            </w:r>
          </w:p>
        </w:tc>
        <w:tc>
          <w:tcPr>
            <w:tcW w:w="3810" w:type="pct"/>
          </w:tcPr>
          <w:p w:rsidR="005F4B4A" w:rsidRPr="00753F2F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Вопросы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к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зачету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2</w:t>
            </w:r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семестр</w:t>
            </w:r>
            <w:proofErr w:type="spellEnd"/>
          </w:p>
          <w:p w:rsidR="005F4B4A" w:rsidRPr="00753F2F" w:rsidRDefault="005F4B4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53F2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Понятие </w:t>
            </w:r>
            <w:r w:rsidR="00753F2F" w:rsidRPr="00753F2F">
              <w:rPr>
                <w:rFonts w:ascii="Times New Roman" w:eastAsia="PragmaticaC" w:hAnsi="Times New Roman"/>
                <w:color w:val="000000"/>
                <w:sz w:val="24"/>
                <w:szCs w:val="24"/>
                <w:lang w:eastAsia="en-US"/>
              </w:rPr>
              <w:t>видения и миссии образовательного уч</w:t>
            </w:r>
            <w:r w:rsidR="00753F2F" w:rsidRPr="00753F2F">
              <w:rPr>
                <w:rFonts w:ascii="Times New Roman" w:eastAsia="PragmaticaC" w:hAnsi="Times New Roman"/>
                <w:color w:val="000000"/>
                <w:sz w:val="24"/>
                <w:szCs w:val="24"/>
                <w:lang w:eastAsia="en-US"/>
              </w:rPr>
              <w:softHyphen/>
              <w:t>реждения.</w:t>
            </w:r>
          </w:p>
          <w:p w:rsidR="005F4B4A" w:rsidRDefault="00753F2F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Функции миссии образовательной организации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722B3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Этапы разработки миссии.</w:t>
            </w:r>
          </w:p>
          <w:p w:rsidR="00D722B3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Методика определения профиля организационной культуры.</w:t>
            </w:r>
          </w:p>
          <w:p w:rsidR="00D722B3" w:rsidRPr="0064018E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Понятие внешней и внутренней среды образовательной организации.</w:t>
            </w:r>
          </w:p>
          <w:p w:rsidR="005F4B4A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>STEP-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анализ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704D1A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Методы анализа внутренней среды образовательной организации.</w:t>
            </w:r>
          </w:p>
          <w:p w:rsidR="00704D1A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>SWOT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-анализ.</w:t>
            </w:r>
          </w:p>
          <w:p w:rsidR="00704D1A" w:rsidRPr="0064018E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Методы анализа внешней среды образовательной организации.</w:t>
            </w:r>
          </w:p>
          <w:p w:rsidR="00033530" w:rsidRDefault="005F4B4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П</w:t>
            </w:r>
            <w:r w:rsidR="00033530">
              <w:rPr>
                <w:rFonts w:ascii="Times New Roman" w:hAnsi="Times New Roman"/>
                <w:spacing w:val="-3"/>
                <w:sz w:val="24"/>
                <w:szCs w:val="24"/>
              </w:rPr>
              <w:t>онятие стратегического плана образовательной организации</w:t>
            </w: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5E7B68" w:rsidRDefault="005E7B68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Стратегическое целеполагание.</w:t>
            </w:r>
          </w:p>
          <w:p w:rsidR="005F4B4A" w:rsidRDefault="00033530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Способы структурирования стратегических целей.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033530" w:rsidRPr="0064018E" w:rsidRDefault="00033530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Критерии эффективности управленческих решений.</w:t>
            </w:r>
          </w:p>
          <w:p w:rsidR="005F4B4A" w:rsidRPr="00B13FBF" w:rsidRDefault="005F4B4A" w:rsidP="00033530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F4B4A" w:rsidRPr="00642507" w:rsidTr="00716583">
        <w:trPr>
          <w:trHeight w:val="77"/>
        </w:trPr>
        <w:tc>
          <w:tcPr>
            <w:tcW w:w="455" w:type="pct"/>
            <w:tcBorders>
              <w:top w:val="nil"/>
              <w:bottom w:val="nil"/>
            </w:tcBorders>
            <w:shd w:val="clear" w:color="000000" w:fill="FFFFFF"/>
          </w:tcPr>
          <w:p w:rsidR="005F4B4A" w:rsidRPr="00B13FBF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0" w:type="pct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Практические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задания</w:t>
            </w:r>
            <w:proofErr w:type="spellEnd"/>
          </w:p>
          <w:p w:rsidR="0053068D" w:rsidRPr="0053068D" w:rsidRDefault="0053068D" w:rsidP="0053068D">
            <w:pPr>
              <w:pStyle w:val="Pa41"/>
              <w:spacing w:after="10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1. Пропишите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факторы, оказываю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щие влияние на Ваше образовательное учреждение и разделить их на внешние и внутренние. Выделите, используя знак «+» и «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-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», те из них, на которые Вы мо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жете повлиять (+) и те, которые трудно изменить (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-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F4B4A" w:rsidRDefault="0053068D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</w:t>
            </w:r>
            <w:r w:rsidR="005F4B4A" w:rsidRPr="0053068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75734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Заполните таблицу «Модель разработки миссии», опираясь на особенности своего образовательного учреждения.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28"/>
              <w:gridCol w:w="3328"/>
              <w:gridCol w:w="3328"/>
            </w:tblGrid>
            <w:tr w:rsidR="00E75734" w:rsidTr="00FE73A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 коллектива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 социума</w:t>
                  </w:r>
                </w:p>
              </w:tc>
            </w:tr>
            <w:tr w:rsidR="00E75734" w:rsidTr="00FE73A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Личном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Что должна дать ра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бота в коллективе каждому ее члену лично?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Что может дать ко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манда </w:t>
                  </w:r>
                  <w:r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образовательной организации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каждо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му клиенту, партнеру, коллеге, конкуренту лично?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  <w:tr w:rsidR="00E75734" w:rsidTr="00FE73A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Социальном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Какие социальные перспективы может дать работа в коман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де ее членам?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Какое социальное вли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яние может оказывать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(формирует культуру отношений, оказывает влияние на семью, на социальный заказ и пр.)? Какое место в социуме хочет занять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  <w:tr w:rsidR="00E75734" w:rsidRPr="00192D13" w:rsidTr="00FE73A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Духовном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Какой видит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свою духовную мис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сию по отношению к самой себе?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В каком образе и кон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тексте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может представить социуму свою духовную миссию (Мы — команда, которая спасает, защищает, заботится, поддерживает... и пр.; помощь ближнему, за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бота об экологии, мик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роклимате и пр.)?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</w:tbl>
          <w:p w:rsidR="00E75734" w:rsidRDefault="00E75734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  <w:p w:rsidR="00DF3F97" w:rsidRPr="00DF3F97" w:rsidRDefault="00DF3F97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А затем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сновываясь на последовательности и содержа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нии деятельности 4 этапов включения коллектива в разработку миссии, составьте план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график мероп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риятий для своего образовательного учреждения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, прописывая действия, сроки и ответственного.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pacing w:val="-3"/>
              </w:rPr>
              <w:lastRenderedPageBreak/>
              <w:t xml:space="preserve">3. 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Определите наиболее существенные политичес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кие, экономические, социальные, технологические (управленческие) факторы, влияющие на развитие Вашего образовательного учреждения.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Политические факторы – все действия власти, влияющие на развитие школы: федеральные, реги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ональные, муниципальные программы и проекты, законодательные документы.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Экономические факторы – экономическое состо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яние региона, города, села, основные работодате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ли, взаимоотношения с бизнесом, промышленными предприятиями, характер финансирования школы.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Социальные факторы – взаимоотношения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с обществом, демографическая ситуация, куль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турно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noBreakHyphen/>
              <w:t>образовательные возможности микрорайона школы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колледжа, вуза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общественные организации, социальное партнерство и т.п.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Технологические (управленческие) факторы – государственно–общественный характер управления образованием, действия органов управления обра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зованием по отношению к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4B4A" w:rsidRDefault="00642507" w:rsidP="00642507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Затем 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внесите эти факторы в таблицу «Анализ внешней среды образовательного учреждения».</w:t>
            </w:r>
          </w:p>
          <w:p w:rsidR="009246CD" w:rsidRDefault="009246CD" w:rsidP="009246CD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E73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«Анализ внешней </w:t>
            </w:r>
            <w:proofErr w:type="spellStart"/>
            <w:r w:rsidRPr="00FE73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средыобразовательного</w:t>
            </w:r>
            <w:proofErr w:type="spellEnd"/>
            <w:r w:rsidRPr="00FE73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учреждения»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28"/>
              <w:gridCol w:w="3328"/>
            </w:tblGrid>
            <w:tr w:rsidR="008E4196" w:rsidRPr="00192D13" w:rsidTr="00FE73A4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Политика</w:t>
                  </w:r>
                </w:p>
              </w:tc>
            </w:tr>
            <w:tr w:rsidR="008E4196" w:rsidRPr="00192D13" w:rsidTr="00FE73A4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RPr="00192D13" w:rsidTr="00FE73A4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RPr="00192D13" w:rsidTr="00FE73A4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Экономика</w:t>
                  </w:r>
                </w:p>
              </w:tc>
            </w:tr>
            <w:tr w:rsidR="008E4196" w:rsidRPr="00192D13" w:rsidTr="00FE73A4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RPr="00192D13" w:rsidTr="00FE73A4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RPr="00192D13" w:rsidTr="00FE73A4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Социум</w:t>
                  </w:r>
                </w:p>
              </w:tc>
            </w:tr>
            <w:tr w:rsidR="008E4196" w:rsidRPr="00192D13" w:rsidTr="00FE73A4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RPr="00192D13" w:rsidTr="00FE73A4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RPr="00192D13" w:rsidTr="00FE73A4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Управленческие технологии</w:t>
                  </w:r>
                </w:p>
              </w:tc>
            </w:tr>
            <w:tr w:rsidR="008E4196" w:rsidRPr="00192D13" w:rsidTr="00FE73A4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RPr="00192D13" w:rsidTr="00FE73A4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5380A" w:rsidRPr="0045380A" w:rsidRDefault="005B228C" w:rsidP="0045380A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4. О</w:t>
            </w:r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пределите сильные и слабые стороны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Вашей образовательной организации </w:t>
            </w:r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и выпишите их в предложенные ниже графы таблицы.</w:t>
            </w:r>
          </w:p>
          <w:p w:rsidR="0045380A" w:rsidRPr="0045380A" w:rsidRDefault="0045380A" w:rsidP="0045380A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Далее, используя положительные стороны всех факторов анализа внешней среды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выберите из них те, которые можно отнести к возможностям, способствующим устранению слабых сторон в раз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витии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246CD" w:rsidRDefault="0045380A" w:rsidP="005B228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Аналогичным образом поработайте с отрица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тельными сторонами всех факторов внешней сре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ды, определите угрозы, препятствующие развитию сильных сторон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образовательной организации.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Заполните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соответствую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щие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графы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таблицы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92"/>
              <w:gridCol w:w="4992"/>
            </w:tblGrid>
            <w:tr w:rsidR="005B228C" w:rsidTr="00FE73A4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Возможности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Сильные стороны</w:t>
                  </w:r>
                </w:p>
              </w:tc>
            </w:tr>
            <w:tr w:rsidR="005B228C" w:rsidTr="00FE73A4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B228C" w:rsidTr="00FE73A4">
              <w:tc>
                <w:tcPr>
                  <w:tcW w:w="4992" w:type="dxa"/>
                </w:tcPr>
                <w:p w:rsidR="005B228C" w:rsidRPr="005B228C" w:rsidRDefault="005B228C" w:rsidP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 xml:space="preserve">Угрозы 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 w:rsidP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Слабые стороны</w:t>
                  </w:r>
                </w:p>
              </w:tc>
            </w:tr>
            <w:tr w:rsidR="005B228C" w:rsidTr="00FE73A4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B228C" w:rsidTr="00FE73A4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Внешняя среда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Организация (система)</w:t>
                  </w:r>
                </w:p>
              </w:tc>
            </w:tr>
          </w:tbl>
          <w:p w:rsidR="005B228C" w:rsidRPr="005B228C" w:rsidRDefault="005B228C" w:rsidP="005B228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5F4B4A" w:rsidRPr="00642507" w:rsidTr="00716583">
        <w:trPr>
          <w:trHeight w:val="1599"/>
        </w:trPr>
        <w:tc>
          <w:tcPr>
            <w:tcW w:w="455" w:type="pct"/>
            <w:tcBorders>
              <w:top w:val="nil"/>
            </w:tcBorders>
            <w:shd w:val="clear" w:color="000000" w:fill="FFFFFF"/>
          </w:tcPr>
          <w:p w:rsidR="005F4B4A" w:rsidRPr="005F4B4A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35" w:type="pct"/>
            <w:tcBorders>
              <w:top w:val="nil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0" w:type="pct"/>
          </w:tcPr>
          <w:p w:rsidR="006554B8" w:rsidRDefault="006554B8" w:rsidP="008739DF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pacing w:val="-3"/>
              </w:rPr>
              <w:t xml:space="preserve">5. 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Основываясь на данных анализа внешней и внутрен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ней среды, определите основные несоответствия между сформулированной миссией и реальным состоянием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 Данные несоответствия – раз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рывы – и являются теми проблемами, которые оп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ределяют стратегическое направление программы развития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739DF" w:rsidRDefault="008739DF" w:rsidP="008739DF">
            <w:pP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Pr="008739DF">
              <w:rPr>
                <w:rFonts w:ascii="Times New Roman" w:eastAsia="PragmaticaC" w:hAnsi="Times New Roman" w:cs="Times New Roman"/>
                <w:color w:val="000000"/>
                <w:sz w:val="24"/>
                <w:szCs w:val="24"/>
                <w:lang w:val="ru-RU"/>
              </w:rPr>
              <w:t xml:space="preserve">Познакомьтесь с алгоритмом методики </w:t>
            </w:r>
            <w:r w:rsidRPr="008739DF"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>«Зеркало прогрессивных преобразований»</w:t>
            </w:r>
            <w:r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а затем заполните его </w:t>
            </w:r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выбрав наиболее актуальную проблему Вашего образовательного учреждения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739DF" w:rsidRDefault="008739DF" w:rsidP="008739DF">
            <w:pP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</w:t>
            </w:r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Выберите одну из сформулированных Вами при</w:t>
            </w:r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оритетных целей и заполните матричную таблицу, которую можно использовать как один из вариан</w:t>
            </w:r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тов оформления стратегического плана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образовательной организации.</w:t>
            </w:r>
          </w:p>
          <w:p w:rsidR="008739DF" w:rsidRPr="008739DF" w:rsidRDefault="008739DF" w:rsidP="008739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22DF362D" wp14:editId="682E26E6">
                  <wp:extent cx="7081284" cy="2024509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азовая форма матричной таблицы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2092" cy="2030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1A52" w:rsidRDefault="00ED1A5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A5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8.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одготовьте проект приказа о разра</w:t>
            </w:r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ботке в образовательном учреждении оперативного плана.</w:t>
            </w:r>
          </w:p>
          <w:p w:rsidR="00ED1A52" w:rsidRDefault="00ED1A5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 Составьте диаграмму </w:t>
            </w:r>
            <w:proofErr w:type="spellStart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Ганта</w:t>
            </w:r>
            <w:proofErr w:type="spellEnd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067C1" w:rsidRPr="00B067C1" w:rsidRDefault="00ED1A52" w:rsidP="00B067C1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Представьте, что в Вашей </w:t>
            </w:r>
            <w:r w:rsid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разрабатывает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ся инновационный проект, направленный на совер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шенствование обучения учащихся. В ходе работы над ним целесообразно осуществить изменения в способах контроля и оценки результа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тов.</w:t>
            </w:r>
          </w:p>
          <w:p w:rsidR="005F4B4A" w:rsidRPr="005A2776" w:rsidRDefault="00B067C1" w:rsidP="00B067C1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Определите состав действий, обеспечивающих необходимые изменения на уровне этих компонен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тов. 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Составьте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lastRenderedPageBreak/>
              <w:t>таблицу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53732" w:rsidRPr="00192D13" w:rsidTr="00FE73A4">
        <w:trPr>
          <w:trHeight w:val="609"/>
        </w:trPr>
        <w:tc>
          <w:tcPr>
            <w:tcW w:w="5000" w:type="pct"/>
            <w:gridSpan w:val="3"/>
            <w:tcBorders>
              <w:top w:val="nil"/>
            </w:tcBorders>
            <w:shd w:val="clear" w:color="000000" w:fill="FFFFFF"/>
          </w:tcPr>
          <w:p w:rsidR="00D53732" w:rsidRDefault="00D53732" w:rsidP="008739DF">
            <w:pPr>
              <w:pStyle w:val="Pa2"/>
              <w:jc w:val="both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b/>
                <w:spacing w:val="-3"/>
              </w:rPr>
              <w:lastRenderedPageBreak/>
              <w:t>УК-3</w:t>
            </w:r>
            <w:r w:rsidRPr="005F4B4A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="005A2776" w:rsidRPr="005A2776">
              <w:rPr>
                <w:rFonts w:ascii="Times New Roman" w:hAnsi="Times New Roman" w:cs="Times New Roman"/>
                <w:b/>
                <w:color w:val="2B2B2B"/>
                <w:shd w:val="clear" w:color="auto" w:fill="FFFFFF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D53732" w:rsidRPr="0064018E" w:rsidTr="00716583">
        <w:trPr>
          <w:trHeight w:val="77"/>
        </w:trPr>
        <w:tc>
          <w:tcPr>
            <w:tcW w:w="45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53068D" w:rsidRDefault="00D53732" w:rsidP="006567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УК-3</w:t>
            </w:r>
          </w:p>
        </w:tc>
        <w:tc>
          <w:tcPr>
            <w:tcW w:w="73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D53732" w:rsidRDefault="00D53732" w:rsidP="006567C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D53732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Знает: стратегии сотрудничества для достижения поставленной цели; знает роли участников в команде.</w:t>
            </w:r>
          </w:p>
          <w:p w:rsidR="00D53732" w:rsidRPr="0064018E" w:rsidRDefault="00D53732" w:rsidP="006567C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3732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Умеет: учитывать в совместной деятельности особенности поведения и общения разных людей; умеет определять роль каждого участника в команде.</w:t>
            </w:r>
          </w:p>
        </w:tc>
        <w:tc>
          <w:tcPr>
            <w:tcW w:w="3810" w:type="pct"/>
          </w:tcPr>
          <w:p w:rsidR="00D53732" w:rsidRPr="00D53732" w:rsidRDefault="00D5373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Вопросы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к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зачету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семестр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а</w:t>
            </w:r>
          </w:p>
          <w:p w:rsidR="00D53732" w:rsidRPr="0064018E" w:rsidRDefault="00D53732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Управление </w:t>
            </w:r>
            <w:proofErr w:type="spellStart"/>
            <w:r w:rsidR="00296CA6">
              <w:rPr>
                <w:rFonts w:ascii="Times New Roman" w:hAnsi="Times New Roman"/>
                <w:spacing w:val="-3"/>
                <w:sz w:val="24"/>
                <w:szCs w:val="24"/>
              </w:rPr>
              <w:t>коллекливом</w:t>
            </w:r>
            <w:proofErr w:type="spellEnd"/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командообразования</w:t>
            </w:r>
            <w:proofErr w:type="spellEnd"/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Техники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командообразования</w:t>
            </w:r>
            <w:proofErr w:type="spellEnd"/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Организационно-управленческие структуры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Результативность команды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Принципы создания и работы команды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D53732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6CA6">
              <w:rPr>
                <w:rFonts w:ascii="Times New Roman" w:hAnsi="Times New Roman"/>
                <w:spacing w:val="-3"/>
                <w:sz w:val="24"/>
                <w:szCs w:val="24"/>
              </w:rPr>
              <w:t>Технологии оценки рисков</w:t>
            </w:r>
          </w:p>
          <w:p w:rsidR="00D53732" w:rsidRPr="00296CA6" w:rsidRDefault="00D53732" w:rsidP="00296CA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D53732" w:rsidRPr="00192D13" w:rsidTr="00716583">
        <w:trPr>
          <w:trHeight w:val="77"/>
        </w:trPr>
        <w:tc>
          <w:tcPr>
            <w:tcW w:w="455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64018E" w:rsidRDefault="00D53732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64018E" w:rsidRDefault="00D53732" w:rsidP="005F4B4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0" w:type="pct"/>
          </w:tcPr>
          <w:p w:rsidR="00D53732" w:rsidRPr="0064018E" w:rsidRDefault="00D5373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Практические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задания</w:t>
            </w:r>
            <w:proofErr w:type="spellEnd"/>
          </w:p>
          <w:p w:rsidR="005A2776" w:rsidRDefault="005A2776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Заполните ассоциативную таблицу «Команда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выглядит как… Команда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звучит как…» и презентуй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 свои варианты</w:t>
            </w:r>
            <w:r w:rsidRPr="00B067C1">
              <w:rPr>
                <w:rStyle w:val="A20"/>
                <w:lang w:val="ru-RU"/>
              </w:rPr>
              <w:t>.</w:t>
            </w:r>
          </w:p>
          <w:p w:rsidR="005A2776" w:rsidRDefault="005A2776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Пропишите 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стратегического плана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53732" w:rsidRPr="00FE73A4" w:rsidRDefault="005A2776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3. Распишите существующую тех</w:t>
            </w:r>
            <w:r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нологию «Оценки рисков», последовательно прохо</w:t>
            </w:r>
            <w:r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дя все шесть ее шагов относительно своей образовательной организации.</w:t>
            </w:r>
          </w:p>
        </w:tc>
      </w:tr>
      <w:tr w:rsidR="00FE73A4" w:rsidRPr="00192D13" w:rsidTr="00FE73A4">
        <w:trPr>
          <w:trHeight w:val="77"/>
        </w:trPr>
        <w:tc>
          <w:tcPr>
            <w:tcW w:w="5000" w:type="pct"/>
            <w:gridSpan w:val="3"/>
            <w:tcBorders>
              <w:left w:val="single" w:sz="8" w:space="0" w:color="000000"/>
            </w:tcBorders>
            <w:shd w:val="clear" w:color="000000" w:fill="FFFFFF"/>
          </w:tcPr>
          <w:p w:rsidR="00FE73A4" w:rsidRPr="00192D13" w:rsidRDefault="00FE73A4" w:rsidP="00192D13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</w:pPr>
            <w:r w:rsidRPr="00FE73A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  <w:lang w:val="ru-RU"/>
              </w:rPr>
              <w:t>ОПК-</w:t>
            </w:r>
            <w:r w:rsidR="00192D13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</w:rPr>
              <w:t>1</w:t>
            </w:r>
            <w:bookmarkStart w:id="0" w:name="_GoBack"/>
            <w:bookmarkEnd w:id="0"/>
            <w:r w:rsidRPr="00FE73A4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  <w:lang w:val="ru-RU"/>
              </w:rPr>
              <w:t xml:space="preserve"> Способен исследовать современные проблемы и методы информатики , искусственного интеллекта и развития информационного общества, цифровой экономики</w:t>
            </w:r>
            <w:r w:rsidR="00192D13" w:rsidRPr="00192D13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716583" w:rsidRPr="00192D13" w:rsidTr="00716583">
        <w:trPr>
          <w:trHeight w:val="870"/>
        </w:trPr>
        <w:tc>
          <w:tcPr>
            <w:tcW w:w="455" w:type="pct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16583" w:rsidRPr="00192D13" w:rsidRDefault="00716583" w:rsidP="00192D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t>ОПК-</w:t>
            </w:r>
            <w:r w:rsidR="00192D13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35" w:type="pct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16583" w:rsidRDefault="00716583" w:rsidP="00FE73A4">
            <w:pPr>
              <w:spacing w:after="0" w:line="240" w:lineRule="auto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</w:pPr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t xml:space="preserve">Знает: содержание, объекты и субъекты информационного общества и </w:t>
            </w:r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lastRenderedPageBreak/>
              <w:t>цифровой экономики, критерии эффективности функционирования информационного общества, теоретические проблемы информатики, искусственного интеллекта, современные методы, средства, стандарты информатики для решения прикладных задач различных классов; правовые, экономические, социальные и психологические аспекты информатизации деятельности организационн</w:t>
            </w:r>
            <w:proofErr w:type="gramStart"/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t>о-</w:t>
            </w:r>
            <w:proofErr w:type="gramEnd"/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t xml:space="preserve"> экономических систем; состав современных методов и средств информатики, передовые методы </w:t>
            </w:r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lastRenderedPageBreak/>
              <w:t>искусственного интеллекта для решения задач профессиональной деятельности;</w:t>
            </w:r>
          </w:p>
          <w:p w:rsidR="00716583" w:rsidRDefault="00716583" w:rsidP="00FE73A4">
            <w:pPr>
              <w:spacing w:after="0" w:line="240" w:lineRule="auto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</w:pPr>
            <w:r w:rsidRPr="00FE73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Умеет: </w:t>
            </w:r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t>применять при решении задач профессиональной деятельности критерии эффективности функционирования информационного общества и цифровой экономики; структуру интеллектуального капитала, методы оценки эффективности; проводить анализ современных методов и средств информатики и искусственного интеллекта для решения прикладных задач различных классов;</w:t>
            </w:r>
          </w:p>
          <w:p w:rsidR="00716583" w:rsidRPr="00FE73A4" w:rsidRDefault="00716583" w:rsidP="00FE73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t xml:space="preserve">Имеет практический опыт: исследования </w:t>
            </w:r>
            <w:r w:rsidRPr="00FE73A4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  <w:lastRenderedPageBreak/>
              <w:t>современных проблем информатики, искусственного интеллекта и развития информационного общества, цифровой экономики; анализа современных методов и средств информатики и искусственного интеллекта для решения задач профессиональной деятельности;</w:t>
            </w:r>
          </w:p>
        </w:tc>
        <w:tc>
          <w:tcPr>
            <w:tcW w:w="3810" w:type="pct"/>
          </w:tcPr>
          <w:p w:rsidR="00716583" w:rsidRPr="00D53732" w:rsidRDefault="00716583" w:rsidP="00716583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lastRenderedPageBreak/>
              <w:t>Вопросы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к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зачету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семестр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а</w:t>
            </w:r>
          </w:p>
          <w:p w:rsidR="00716583" w:rsidRPr="0064018E" w:rsidRDefault="00716583" w:rsidP="00716583">
            <w:pPr>
              <w:pStyle w:val="a5"/>
              <w:numPr>
                <w:ilvl w:val="0"/>
                <w:numId w:val="13"/>
              </w:num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Содержание цифровой экономики</w:t>
            </w: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716583" w:rsidRPr="0064018E" w:rsidRDefault="00716583" w:rsidP="00716583">
            <w:pPr>
              <w:pStyle w:val="a5"/>
              <w:numPr>
                <w:ilvl w:val="0"/>
                <w:numId w:val="13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Объекты и субъекты информационного общества и цифровой экономики</w:t>
            </w: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716583" w:rsidRPr="00FE73A4" w:rsidRDefault="00716583" w:rsidP="00716583">
            <w:pPr>
              <w:pStyle w:val="a5"/>
              <w:numPr>
                <w:ilvl w:val="0"/>
                <w:numId w:val="13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П</w:t>
            </w:r>
            <w:r w:rsidRPr="00FE73A4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равовые, экономические, социальные и психологические аспекты информатизац</w:t>
            </w:r>
            <w:r w:rsidR="002C1941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ии деятельности организационно-</w:t>
            </w:r>
            <w:r w:rsidRPr="00FE73A4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экономических систем</w:t>
            </w: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</w:tc>
      </w:tr>
      <w:tr w:rsidR="00716583" w:rsidRPr="00192D13" w:rsidTr="00716583">
        <w:trPr>
          <w:trHeight w:val="23677"/>
        </w:trPr>
        <w:tc>
          <w:tcPr>
            <w:tcW w:w="455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16583" w:rsidRPr="00FE73A4" w:rsidRDefault="00716583" w:rsidP="007165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735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716583" w:rsidRPr="00FE73A4" w:rsidRDefault="00716583" w:rsidP="00716583">
            <w:pPr>
              <w:spacing w:after="0" w:line="240" w:lineRule="auto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3810" w:type="pct"/>
          </w:tcPr>
          <w:p w:rsidR="00716583" w:rsidRPr="00716583" w:rsidRDefault="00716583" w:rsidP="00716583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 w:rsidRPr="00716583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Практические задания</w:t>
            </w:r>
            <w:r w:rsidR="002C1941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по вариантам:</w:t>
            </w:r>
          </w:p>
          <w:p w:rsidR="00716583" w:rsidRDefault="00716583" w:rsidP="00716583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="002C194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Провести анализ современных трендов и перспектив развития стратегического менеджмента в условиях цифровой трансформации</w:t>
            </w:r>
            <w:r w:rsidRPr="00B067C1">
              <w:rPr>
                <w:rStyle w:val="A20"/>
                <w:lang w:val="ru-RU"/>
              </w:rPr>
              <w:t>.</w:t>
            </w:r>
          </w:p>
          <w:p w:rsidR="002C1941" w:rsidRDefault="00716583" w:rsidP="002C1941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="002C194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Рассмотреть особенности управления развитием образовательного учреждения при переходе к цифровой экономике.</w:t>
            </w:r>
          </w:p>
          <w:p w:rsidR="002C1941" w:rsidRPr="00FE73A4" w:rsidRDefault="002C1941" w:rsidP="002C1941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="00A43B20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D396E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Рассмотреть в</w:t>
            </w:r>
            <w:r w:rsidR="00A43B20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заимосвязь человеческого и искусственного интеллектов в системе управления образовательной организации.</w:t>
            </w:r>
          </w:p>
          <w:p w:rsidR="00716583" w:rsidRPr="00FE73A4" w:rsidRDefault="00716583" w:rsidP="00716583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</w:p>
        </w:tc>
      </w:tr>
    </w:tbl>
    <w:p w:rsidR="00425E50" w:rsidRDefault="00425E50" w:rsidP="002C19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x-none"/>
        </w:rPr>
      </w:pPr>
    </w:p>
    <w:sectPr w:rsidR="00425E50" w:rsidSect="005F63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0D9"/>
    <w:multiLevelType w:val="multilevel"/>
    <w:tmpl w:val="522E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64D50"/>
    <w:multiLevelType w:val="hybridMultilevel"/>
    <w:tmpl w:val="FFEE03D0"/>
    <w:lvl w:ilvl="0" w:tplc="F2E60068">
      <w:start w:val="1"/>
      <w:numFmt w:val="decimal"/>
      <w:lvlText w:val="%1."/>
      <w:lvlJc w:val="left"/>
      <w:pPr>
        <w:ind w:left="131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11D00E0B"/>
    <w:multiLevelType w:val="hybridMultilevel"/>
    <w:tmpl w:val="BBEE534C"/>
    <w:lvl w:ilvl="0" w:tplc="23E8D6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427D26"/>
    <w:multiLevelType w:val="hybridMultilevel"/>
    <w:tmpl w:val="FFF03832"/>
    <w:lvl w:ilvl="0" w:tplc="C78CD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47C6"/>
    <w:multiLevelType w:val="multilevel"/>
    <w:tmpl w:val="53F2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83246"/>
    <w:multiLevelType w:val="hybridMultilevel"/>
    <w:tmpl w:val="AD52CE3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4A6672"/>
    <w:multiLevelType w:val="hybridMultilevel"/>
    <w:tmpl w:val="01BE5046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865A39"/>
    <w:multiLevelType w:val="hybridMultilevel"/>
    <w:tmpl w:val="F7AAD3B0"/>
    <w:lvl w:ilvl="0" w:tplc="83C6C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B554D5"/>
    <w:multiLevelType w:val="hybridMultilevel"/>
    <w:tmpl w:val="53E4DE5C"/>
    <w:lvl w:ilvl="0" w:tplc="6728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BF4EF5"/>
    <w:multiLevelType w:val="hybridMultilevel"/>
    <w:tmpl w:val="87B4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C00AB8"/>
    <w:multiLevelType w:val="hybridMultilevel"/>
    <w:tmpl w:val="EB84BE7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425B49"/>
    <w:multiLevelType w:val="hybridMultilevel"/>
    <w:tmpl w:val="311A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58B1ABC"/>
    <w:multiLevelType w:val="hybridMultilevel"/>
    <w:tmpl w:val="2D488ED8"/>
    <w:lvl w:ilvl="0" w:tplc="8EF61C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177F0"/>
    <w:rsid w:val="0002418B"/>
    <w:rsid w:val="00033530"/>
    <w:rsid w:val="000A40F6"/>
    <w:rsid w:val="001248A2"/>
    <w:rsid w:val="00192D13"/>
    <w:rsid w:val="001F0BC7"/>
    <w:rsid w:val="00296CA6"/>
    <w:rsid w:val="002C1941"/>
    <w:rsid w:val="002D396E"/>
    <w:rsid w:val="00303F21"/>
    <w:rsid w:val="00425E50"/>
    <w:rsid w:val="00427717"/>
    <w:rsid w:val="004333AF"/>
    <w:rsid w:val="00433B7D"/>
    <w:rsid w:val="0045380A"/>
    <w:rsid w:val="004F1412"/>
    <w:rsid w:val="0053068D"/>
    <w:rsid w:val="005916BC"/>
    <w:rsid w:val="005A2776"/>
    <w:rsid w:val="005A6363"/>
    <w:rsid w:val="005B228C"/>
    <w:rsid w:val="005E7B68"/>
    <w:rsid w:val="005F4B4A"/>
    <w:rsid w:val="005F636C"/>
    <w:rsid w:val="00642507"/>
    <w:rsid w:val="00654C3F"/>
    <w:rsid w:val="006554B8"/>
    <w:rsid w:val="007020FF"/>
    <w:rsid w:val="00704D1A"/>
    <w:rsid w:val="00716583"/>
    <w:rsid w:val="00753F2F"/>
    <w:rsid w:val="008739DF"/>
    <w:rsid w:val="008E4196"/>
    <w:rsid w:val="00905011"/>
    <w:rsid w:val="009246CD"/>
    <w:rsid w:val="00A43B20"/>
    <w:rsid w:val="00A55E12"/>
    <w:rsid w:val="00AF0927"/>
    <w:rsid w:val="00B067C1"/>
    <w:rsid w:val="00B13FBF"/>
    <w:rsid w:val="00D15CE0"/>
    <w:rsid w:val="00D31453"/>
    <w:rsid w:val="00D35AE6"/>
    <w:rsid w:val="00D53732"/>
    <w:rsid w:val="00D722B3"/>
    <w:rsid w:val="00DF3F97"/>
    <w:rsid w:val="00E209E2"/>
    <w:rsid w:val="00E75734"/>
    <w:rsid w:val="00ED1A52"/>
    <w:rsid w:val="00F11202"/>
    <w:rsid w:val="00F50EAA"/>
    <w:rsid w:val="00F86F4B"/>
    <w:rsid w:val="00FE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1326</Words>
  <Characters>7562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2021-2022_09_03_03_АПИб-21-1_6_plx_Теория и методология управления проектами</vt:lpstr>
      <vt:lpstr>Лист1</vt:lpstr>
    </vt:vector>
  </TitlesOfParts>
  <Company>*</Company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2021-2022_09_03_03_АПИб-21-1_6_plx_Теория и методология управления проектами</dc:title>
  <dc:creator>FastReport.NET</dc:creator>
  <cp:lastModifiedBy>GiN .</cp:lastModifiedBy>
  <cp:revision>7</cp:revision>
  <dcterms:created xsi:type="dcterms:W3CDTF">2021-10-10T13:09:00Z</dcterms:created>
  <dcterms:modified xsi:type="dcterms:W3CDTF">2021-12-24T18:19:00Z</dcterms:modified>
</cp:coreProperties>
</file>